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B26C9" w:rsidRPr="007E0A3D" w:rsidRDefault="00AB26C9" w:rsidP="00AB26C9">
      <w:pPr>
        <w:rPr>
          <w:b/>
          <w:sz w:val="28"/>
          <w:szCs w:val="28"/>
          <w:lang w:val="it-IT"/>
        </w:rPr>
      </w:pPr>
      <w:r w:rsidRPr="007E0A3D">
        <w:rPr>
          <w:b/>
          <w:sz w:val="28"/>
          <w:szCs w:val="28"/>
          <w:lang w:val="it-IT"/>
        </w:rPr>
        <w:t xml:space="preserve">Comunità Informali ed Economia del Territorio. Le sperimentazioni in corso nei cosiddetti “beni comuni urbani” a Napoli </w:t>
      </w:r>
    </w:p>
    <w:p w:rsidR="00334BF7" w:rsidRPr="008A006E" w:rsidRDefault="00334BF7">
      <w:pPr>
        <w:rPr>
          <w:sz w:val="28"/>
          <w:szCs w:val="28"/>
          <w:lang w:val="it-IT"/>
        </w:rPr>
      </w:pPr>
    </w:p>
    <w:p w:rsidR="00C1148D" w:rsidRPr="00334BF7" w:rsidRDefault="00C97A03" w:rsidP="00594DC1">
      <w:pPr>
        <w:spacing w:after="0" w:line="240" w:lineRule="auto"/>
        <w:rPr>
          <w:i/>
          <w:lang w:val="it-IT"/>
        </w:rPr>
      </w:pPr>
      <w:r w:rsidRPr="00334BF7">
        <w:rPr>
          <w:i/>
          <w:lang w:val="it-IT"/>
        </w:rPr>
        <w:t>Patrizia VITTORIA</w:t>
      </w:r>
      <w:r w:rsidR="00C1148D" w:rsidRPr="00334BF7">
        <w:rPr>
          <w:i/>
          <w:lang w:val="it-IT"/>
        </w:rPr>
        <w:t xml:space="preserve">, </w:t>
      </w:r>
      <w:r w:rsidR="00E5096A">
        <w:rPr>
          <w:i/>
          <w:lang w:val="it-IT"/>
        </w:rPr>
        <w:t>Istituto di Ricerca su Innovazione e Servizi per lo Sviluppo (</w:t>
      </w:r>
      <w:r w:rsidR="00C1148D" w:rsidRPr="00334BF7">
        <w:rPr>
          <w:i/>
          <w:lang w:val="it-IT"/>
        </w:rPr>
        <w:t>IRISS</w:t>
      </w:r>
      <w:r w:rsidR="00E5096A">
        <w:rPr>
          <w:i/>
          <w:lang w:val="it-IT"/>
        </w:rPr>
        <w:t>)</w:t>
      </w:r>
      <w:r w:rsidR="00C1148D" w:rsidRPr="00334BF7">
        <w:rPr>
          <w:i/>
          <w:lang w:val="it-IT"/>
        </w:rPr>
        <w:t>/CNR</w:t>
      </w:r>
      <w:r w:rsidR="00E5096A">
        <w:rPr>
          <w:i/>
          <w:lang w:val="it-IT"/>
        </w:rPr>
        <w:t>, Napoli</w:t>
      </w:r>
    </w:p>
    <w:p w:rsidR="00C97A03" w:rsidRPr="00334BF7" w:rsidRDefault="00C1148D" w:rsidP="00594DC1">
      <w:pPr>
        <w:spacing w:after="0" w:line="240" w:lineRule="auto"/>
        <w:rPr>
          <w:i/>
          <w:lang w:val="it-IT"/>
        </w:rPr>
      </w:pPr>
      <w:r w:rsidRPr="00334BF7">
        <w:rPr>
          <w:i/>
          <w:lang w:val="it-IT"/>
        </w:rPr>
        <w:t xml:space="preserve">Mauro PINTO, </w:t>
      </w:r>
      <w:r w:rsidR="00174567">
        <w:rPr>
          <w:i/>
          <w:lang w:val="it-IT"/>
        </w:rPr>
        <w:t>Università della Campania “Luigi Vanvitelli”; Attivista Laboratorio di Mutuo Soccorso “Zero81”</w:t>
      </w:r>
    </w:p>
    <w:p w:rsidR="00C1148D" w:rsidRDefault="00C1148D">
      <w:pPr>
        <w:rPr>
          <w:i/>
          <w:sz w:val="24"/>
          <w:szCs w:val="24"/>
          <w:lang w:val="it-IT"/>
        </w:rPr>
      </w:pPr>
    </w:p>
    <w:p w:rsidR="00334BF7" w:rsidRPr="00483DF3" w:rsidRDefault="00334BF7">
      <w:pPr>
        <w:rPr>
          <w:i/>
          <w:lang w:val="it-IT"/>
        </w:rPr>
      </w:pPr>
      <w:r w:rsidRPr="00483DF3">
        <w:rPr>
          <w:i/>
          <w:lang w:val="it-IT"/>
        </w:rPr>
        <w:t>Abstract</w:t>
      </w:r>
    </w:p>
    <w:p w:rsidR="00E5096A" w:rsidRPr="00E5096A" w:rsidRDefault="00E5096A" w:rsidP="00E5096A">
      <w:pPr>
        <w:ind w:firstLine="708"/>
        <w:rPr>
          <w:lang w:val="it-IT"/>
        </w:rPr>
      </w:pPr>
      <w:r w:rsidRPr="00E5096A">
        <w:rPr>
          <w:lang w:val="it-IT"/>
        </w:rPr>
        <w:t xml:space="preserve">Il lavoro parte dal generale riconoscimento che le città sono fortemente caratterizzate dai rispettivi contesti politico-culturali informali, soprattutto dalle modalità in cui si esplicano le forme di mobilitazione politica. E cioè che alcune città siano caratterizzate da lunghe tradizioni di attivismo e partecipazione politica, stabilendo pattern di collaborazione tra gruppi informali, imprese e amministrazione locale, mentre altre presentano contesti culturali e politici più marcatamente gerarchici </w:t>
      </w:r>
      <w:r w:rsidRPr="00E5096A">
        <w:rPr>
          <w:lang w:val="it-IT"/>
        </w:rPr>
        <w:fldChar w:fldCharType="begin" w:fldLock="1"/>
      </w:r>
      <w:r w:rsidRPr="00E5096A">
        <w:rPr>
          <w:lang w:val="it-IT"/>
        </w:rPr>
        <w:instrText>ADDIN CSL_CITATION { "citationItems" : [ { "id" : "ITEM-1", "itemData" : { "author" : [ { "dropping-particle" : "", "family" : "Logan", "given" : "J.", "non-dropping-particle" : "", "parse-names" : false, "suffix" : "" }, { "dropping-particle" : "", "family" : "Molotch", "given" : "H.", "non-dropping-particle" : "", "parse-names" : false, "suffix" : "" } ], "id" : "ITEM-1", "issued" : { "date-parts" : [ [ "1987" ] ] }, "publisher" : "University of California press", "publisher-place" : "Berkeley", "title" : "Urban fortunes", "type" : "book" }, "uris" : [ "http://www.mendeley.com/documents/?uuid=ed855a48-c59a-44a2-9d20-cb243da063f2" ] } ], "mendeley" : { "formattedCitation" : "(Logan &amp; Molotch, 1987)", "plainTextFormattedCitation" : "(Logan &amp; Molotch, 1987)", "previouslyFormattedCitation" : "(Logan &amp; Molotch, 1987)" }, "properties" : { "noteIndex" : 0 }, "schema" : "https://github.com/citation-style-language/schema/raw/master/csl-citation.json" }</w:instrText>
      </w:r>
      <w:r w:rsidRPr="00E5096A">
        <w:rPr>
          <w:lang w:val="it-IT"/>
        </w:rPr>
        <w:fldChar w:fldCharType="separate"/>
      </w:r>
      <w:r w:rsidRPr="00E5096A">
        <w:rPr>
          <w:noProof/>
          <w:lang w:val="it-IT"/>
        </w:rPr>
        <w:t>(Logan &amp; Molotch, 1987)</w:t>
      </w:r>
      <w:r w:rsidRPr="00E5096A">
        <w:rPr>
          <w:lang w:val="it-IT"/>
        </w:rPr>
        <w:fldChar w:fldCharType="end"/>
      </w:r>
      <w:r w:rsidRPr="00E5096A">
        <w:rPr>
          <w:lang w:val="it-IT"/>
        </w:rPr>
        <w:t xml:space="preserve">. In alcuni studi, l’analisi fatta attraverso la costruzione di indici del capitale sociale locale ha messo in evidenza proprio queste </w:t>
      </w:r>
      <w:r w:rsidR="00294323" w:rsidRPr="00483DF3">
        <w:rPr>
          <w:lang w:val="it-IT"/>
        </w:rPr>
        <w:t>evidenze</w:t>
      </w:r>
      <w:r w:rsidRPr="00E5096A">
        <w:rPr>
          <w:lang w:val="it-IT"/>
        </w:rPr>
        <w:t xml:space="preserve">, sebbene non abbia finora fornito ulteriori informazioni in merito ai risultati, sia in termini di </w:t>
      </w:r>
      <w:r w:rsidRPr="00E5096A">
        <w:rPr>
          <w:i/>
          <w:lang w:val="it-IT"/>
        </w:rPr>
        <w:t>political outcomes</w:t>
      </w:r>
      <w:r w:rsidRPr="00E5096A">
        <w:rPr>
          <w:lang w:val="it-IT"/>
        </w:rPr>
        <w:t xml:space="preserve"> </w:t>
      </w:r>
      <w:r w:rsidRPr="00E5096A">
        <w:rPr>
          <w:lang w:val="it-IT"/>
        </w:rPr>
        <w:fldChar w:fldCharType="begin" w:fldLock="1"/>
      </w:r>
      <w:r w:rsidRPr="00E5096A">
        <w:rPr>
          <w:lang w:val="it-IT"/>
        </w:rPr>
        <w:instrText>ADDIN CSL_CITATION { "citationItems" : [ { "id" : "ITEM-1", "itemData" : { "author" : [ { "dropping-particle" : "", "family" : "Putnam", "given" : "R.", "non-dropping-particle" : "", "parse-names" : false, "suffix" : "" } ], "id" : "ITEM-1", "issued" : { "date-parts" : [ [ "2000" ] ] }, "publisher" : "Simon and Schuster", "publisher-place" : "New York", "title" : "Bowling alone: the collapse and revival of American community", "type" : "book" }, "uris" : [ "http://www.mendeley.com/documents/?uuid=2b33a62d-1128-408a-b352-a1a40c4e8072" ] } ], "mendeley" : { "formattedCitation" : "(Putnam, 2000)", "plainTextFormattedCitation" : "(Putnam, 2000)", "previouslyFormattedCitation" : "(Putnam, 2000)" }, "properties" : { "noteIndex" : 0 }, "schema" : "https://github.com/citation-style-language/schema/raw/master/csl-citation.json" }</w:instrText>
      </w:r>
      <w:r w:rsidRPr="00E5096A">
        <w:rPr>
          <w:lang w:val="it-IT"/>
        </w:rPr>
        <w:fldChar w:fldCharType="separate"/>
      </w:r>
      <w:r w:rsidRPr="00E5096A">
        <w:rPr>
          <w:noProof/>
          <w:lang w:val="it-IT"/>
        </w:rPr>
        <w:t>(Putnam, 2000)</w:t>
      </w:r>
      <w:r w:rsidRPr="00E5096A">
        <w:rPr>
          <w:lang w:val="it-IT"/>
        </w:rPr>
        <w:fldChar w:fldCharType="end"/>
      </w:r>
      <w:r w:rsidRPr="00E5096A">
        <w:rPr>
          <w:lang w:val="it-IT"/>
        </w:rPr>
        <w:t xml:space="preserve"> che di </w:t>
      </w:r>
      <w:r w:rsidRPr="00E5096A">
        <w:rPr>
          <w:i/>
          <w:lang w:val="it-IT"/>
        </w:rPr>
        <w:t xml:space="preserve">economic performances </w:t>
      </w:r>
      <w:r w:rsidRPr="00E5096A">
        <w:rPr>
          <w:i/>
          <w:lang w:val="it-IT"/>
        </w:rPr>
        <w:fldChar w:fldCharType="begin" w:fldLock="1"/>
      </w:r>
      <w:r w:rsidRPr="00E5096A">
        <w:rPr>
          <w:i/>
          <w:lang w:val="it-IT"/>
        </w:rPr>
        <w:instrText>ADDIN CSL_CITATION { "citationItems" : [ { "id" : "ITEM-1", "itemData" : { "author" : [ { "dropping-particle" : "", "family" : "Storper", "given" : "M.", "non-dropping-particle" : "", "parse-names" : false, "suffix" : "" } ], "id" : "ITEM-1", "issued" : { "date-parts" : [ [ "2013" ] ] }, "publisher" : "Princeton University Press", "title" : "Keys to the city. How economics, institutions, social interaction, and politics shape development", "type" : "book" }, "uris" : [ "http://www.mendeley.com/documents/?uuid=ec0284cc-38eb-4800-a839-0e20e2faa809" ] } ], "mendeley" : { "formattedCitation" : "(Storper, 2013)", "plainTextFormattedCitation" : "(Storper, 2013)" }, "properties" : { "noteIndex" : 0 }, "schema" : "https://github.com/citation-style-language/schema/raw/master/csl-citation.json" }</w:instrText>
      </w:r>
      <w:r w:rsidRPr="00E5096A">
        <w:rPr>
          <w:i/>
          <w:lang w:val="it-IT"/>
        </w:rPr>
        <w:fldChar w:fldCharType="separate"/>
      </w:r>
      <w:r w:rsidRPr="00E5096A">
        <w:rPr>
          <w:noProof/>
          <w:lang w:val="it-IT"/>
        </w:rPr>
        <w:t>(Storper, 2013)</w:t>
      </w:r>
      <w:r w:rsidRPr="00E5096A">
        <w:rPr>
          <w:i/>
          <w:lang w:val="it-IT"/>
        </w:rPr>
        <w:fldChar w:fldCharType="end"/>
      </w:r>
      <w:r w:rsidR="00294323" w:rsidRPr="00483DF3">
        <w:rPr>
          <w:i/>
          <w:lang w:val="it-IT"/>
        </w:rPr>
        <w:t>.</w:t>
      </w:r>
    </w:p>
    <w:p w:rsidR="00106E14" w:rsidRPr="00483DF3" w:rsidRDefault="00E5096A" w:rsidP="00106E14">
      <w:pPr>
        <w:ind w:firstLine="708"/>
        <w:rPr>
          <w:lang w:val="it-IT"/>
        </w:rPr>
      </w:pPr>
      <w:r w:rsidRPr="00E5096A">
        <w:rPr>
          <w:lang w:val="it-IT"/>
        </w:rPr>
        <w:t>In questo contesto, la città di Napoli ha una lunga tradizione, risalente ai primi anni ’80, di attivismo di comunità basato sulla riapertura di immobili abbandonati che, in tempi più recenti, si è indirizzata su percorsi di dialogo con l’amministrazione locale</w:t>
      </w:r>
      <w:r w:rsidR="00B76FB0" w:rsidRPr="00483DF3">
        <w:rPr>
          <w:lang w:val="it-IT"/>
        </w:rPr>
        <w:t xml:space="preserve">. A tale riguardo, le sperimentazioni in corso nei cosiddetti “beni comuni urbani” </w:t>
      </w:r>
      <w:r w:rsidR="00B76FB0" w:rsidRPr="00E5096A">
        <w:rPr>
          <w:lang w:val="it-IT"/>
        </w:rPr>
        <w:t>(Micciarelli 2017)</w:t>
      </w:r>
      <w:r w:rsidR="00B76FB0" w:rsidRPr="00483DF3">
        <w:rPr>
          <w:lang w:val="it-IT"/>
        </w:rPr>
        <w:t>, destano particolare attenzione</w:t>
      </w:r>
      <w:r w:rsidRPr="00E5096A">
        <w:rPr>
          <w:lang w:val="it-IT"/>
        </w:rPr>
        <w:t xml:space="preserve">. Per quanto il contributo dei più recenti esperimenti in questo campo sia stato riconosciuto in termini di capacità progettuale delle forme di governo della città, nelle capacità di riutilizzo di beni del patrimonio artistico e di inclusione sociale </w:t>
      </w:r>
      <w:r w:rsidRPr="00E5096A">
        <w:rPr>
          <w:lang w:val="it-IT"/>
        </w:rPr>
        <w:fldChar w:fldCharType="begin" w:fldLock="1"/>
      </w:r>
      <w:r w:rsidRPr="00E5096A">
        <w:rPr>
          <w:lang w:val="it-IT"/>
        </w:rPr>
        <w:instrText>ADDIN CSL_CITATION { "citationItems" : [ { "id" : "ITEM-1", "itemData" : { "author" : [ { "dropping-particle" : "", "family" : "Rossi", "given" : "U.", "non-dropping-particle" : "", "parse-names" : false, "suffix" : "" } ], "id" : "ITEM-1", "issued" : { "date-parts" : [ [ "2009" ] ] }, "number-of-pages" : "204", "publisher" : "Alfredo Guida Editore", "publisher-place" : "Napoli", "title" : "Lo Spazio Conteso. Il centro storico di Napoli tra coalizioni e conflitti", "type" : "book" }, "uris" : [ "http://www.mendeley.com/documents/?uuid=2eb3a08a-9a8d-444d-a485-41f3bf26ff95" ] }, { "id" : "ITEM-2", "itemData" : { "author" : [ { "dropping-particle" : "", "family" : "Dines", "given" : "N.", "non-dropping-particle" : "", "parse-names" : false, "suffix" : "" } ], "id" : "ITEM-2", "issued" : { "date-parts" : [ [ "2012" ] ] }, "publisher" : "Berghahn Books", "publisher-place" : "New York, Oxford", "title" : "Tuff city", "type" : "book" }, "uris" : [ "http://www.mendeley.com/documents/?uuid=5aca99a0-98be-4819-83fe-11812c22fedc" ] } ], "mendeley" : { "formattedCitation" : "(Dines, 2012; Rossi, 2009)", "manualFormatting" : "(Rossi, 2009; Dines, 2012)", "plainTextFormattedCitation" : "(Dines, 2012; Rossi, 2009)", "previouslyFormattedCitation" : "(Dines, 2012; Rossi, 2009)" }, "properties" : { "noteIndex" : 0 }, "schema" : "https://github.com/citation-style-language/schema/raw/master/csl-citation.json" }</w:instrText>
      </w:r>
      <w:r w:rsidRPr="00E5096A">
        <w:rPr>
          <w:lang w:val="it-IT"/>
        </w:rPr>
        <w:fldChar w:fldCharType="separate"/>
      </w:r>
      <w:r w:rsidRPr="00E5096A">
        <w:rPr>
          <w:noProof/>
          <w:lang w:val="it-IT"/>
        </w:rPr>
        <w:t>(Rossi, 2009; Dines, 2012)</w:t>
      </w:r>
      <w:r w:rsidRPr="00E5096A">
        <w:rPr>
          <w:lang w:val="it-IT"/>
        </w:rPr>
        <w:fldChar w:fldCharType="end"/>
      </w:r>
      <w:r w:rsidRPr="00E5096A">
        <w:rPr>
          <w:lang w:val="it-IT"/>
        </w:rPr>
        <w:t xml:space="preserve">, esso rimane latente o non quantificato </w:t>
      </w:r>
      <w:r w:rsidR="00B76FB0" w:rsidRPr="00483DF3">
        <w:rPr>
          <w:lang w:val="it-IT"/>
        </w:rPr>
        <w:t>dall’</w:t>
      </w:r>
      <w:r w:rsidRPr="00E5096A">
        <w:rPr>
          <w:lang w:val="it-IT"/>
        </w:rPr>
        <w:t>analisi</w:t>
      </w:r>
      <w:r w:rsidR="00B76FB0" w:rsidRPr="00483DF3">
        <w:rPr>
          <w:lang w:val="it-IT"/>
        </w:rPr>
        <w:t xml:space="preserve"> economica. </w:t>
      </w:r>
      <w:r w:rsidR="00106E14" w:rsidRPr="00483DF3">
        <w:rPr>
          <w:lang w:val="it-IT"/>
        </w:rPr>
        <w:t>Il presente lavoro cercherà di dare un contributo in quest’ambito e, in particolare, ai temi sollevati dall’ampio dibattito che, negli ultimi anni, si sta producendo sul legame che intercorre tra le comunità informali e lo sviluppo locale.</w:t>
      </w:r>
    </w:p>
    <w:p w:rsidR="00AE31B7" w:rsidRPr="00594DC1" w:rsidRDefault="007E0A3D" w:rsidP="00594DC1">
      <w:pPr>
        <w:ind w:firstLine="708"/>
        <w:rPr>
          <w:sz w:val="24"/>
          <w:szCs w:val="24"/>
          <w:lang w:val="it-IT"/>
        </w:rPr>
      </w:pPr>
      <w:r>
        <w:rPr>
          <w:lang w:val="it-IT"/>
        </w:rPr>
        <w:t>Adottando</w:t>
      </w:r>
      <w:r w:rsidR="00EF18CE" w:rsidRPr="00483DF3">
        <w:rPr>
          <w:lang w:val="it-IT"/>
        </w:rPr>
        <w:t xml:space="preserve"> l’ipotesi di una durevole e concreta diversità nelle forme di coordinazione intra ed inter-settoriale dei sistemi economici, e quindi l’impossibilità di riferirsi ad un unico modello di crescita</w:t>
      </w:r>
      <w:r w:rsidR="00952E1B" w:rsidRPr="00483DF3">
        <w:rPr>
          <w:lang w:val="it-IT"/>
        </w:rPr>
        <w:t xml:space="preserve"> </w:t>
      </w:r>
      <w:r w:rsidR="00952E1B" w:rsidRPr="00483DF3">
        <w:rPr>
          <w:lang w:val="it-IT"/>
        </w:rPr>
        <w:fldChar w:fldCharType="begin" w:fldLock="1"/>
      </w:r>
      <w:r w:rsidR="00952E1B" w:rsidRPr="00483DF3">
        <w:rPr>
          <w:lang w:val="it-IT"/>
        </w:rPr>
        <w:instrText>ADDIN CSL_CITATION { "citationItems" : [ { "id" : "ITEM-1", "itemData" : { "author" : [ { "dropping-particle" : "", "family" : "Storper", "given" : "M.", "non-dropping-particle" : "", "parse-names" : false, "suffix" : "" }, { "dropping-particle" : "", "family" : "Salais", "given" : "R.", "non-dropping-particle" : "", "parse-names" : false, "suffix" : "" } ], "id" : "ITEM-1", "issued" : { "date-parts" : [ [ "1997" ] ] }, "publisher" : "Harvard University Press", "publisher-place" : "Cambridge, MA", "title" : "Worlds of production: the action frameworks of the economy", "type" : "book" }, "uris" : [ "http://www.mendeley.com/documents/?uuid=b1c8a8be-1228-4bb1-a3f4-40061c85f0d5" ] } ], "mendeley" : { "formattedCitation" : "(Storper &amp; Salais, 1997)", "plainTextFormattedCitation" : "(Storper &amp; Salais, 1997)" }, "properties" : { "noteIndex" : 0 }, "schema" : "https://github.com/citation-style-language/schema/raw/master/csl-citation.json" }</w:instrText>
      </w:r>
      <w:r w:rsidR="00952E1B" w:rsidRPr="00483DF3">
        <w:rPr>
          <w:lang w:val="it-IT"/>
        </w:rPr>
        <w:fldChar w:fldCharType="separate"/>
      </w:r>
      <w:r w:rsidR="00952E1B" w:rsidRPr="00483DF3">
        <w:rPr>
          <w:noProof/>
          <w:lang w:val="it-IT"/>
        </w:rPr>
        <w:t>(Storper &amp; Salais, 1997)</w:t>
      </w:r>
      <w:r w:rsidR="00952E1B" w:rsidRPr="00483DF3">
        <w:rPr>
          <w:lang w:val="it-IT"/>
        </w:rPr>
        <w:fldChar w:fldCharType="end"/>
      </w:r>
      <w:r w:rsidR="003C26F8" w:rsidRPr="00483DF3">
        <w:rPr>
          <w:lang w:val="it-IT"/>
        </w:rPr>
        <w:t xml:space="preserve">, </w:t>
      </w:r>
      <w:r w:rsidR="009B3C0A" w:rsidRPr="00483DF3">
        <w:rPr>
          <w:lang w:val="it-IT"/>
        </w:rPr>
        <w:t xml:space="preserve">il </w:t>
      </w:r>
      <w:r w:rsidR="00106E14" w:rsidRPr="00483DF3">
        <w:rPr>
          <w:lang w:val="it-IT"/>
        </w:rPr>
        <w:t xml:space="preserve">nostro studio considera che il risultato atteso dall’attività posta in essere dalle comunità informali </w:t>
      </w:r>
      <w:r w:rsidR="009B3C0A" w:rsidRPr="00483DF3">
        <w:rPr>
          <w:lang w:val="it-IT"/>
        </w:rPr>
        <w:t>po</w:t>
      </w:r>
      <w:r w:rsidR="00106E14" w:rsidRPr="00483DF3">
        <w:rPr>
          <w:lang w:val="it-IT"/>
        </w:rPr>
        <w:t>ssa</w:t>
      </w:r>
      <w:r w:rsidR="009B3C0A" w:rsidRPr="00483DF3">
        <w:rPr>
          <w:lang w:val="it-IT"/>
        </w:rPr>
        <w:t xml:space="preserve"> essere quello di stabilire un collegamento creativo con i poli produttivi locali (si pensi alle comunità che funzionano come aree di apprendimento e di entrepreneurial discovery).</w:t>
      </w:r>
      <w:r w:rsidR="00952E1B" w:rsidRPr="00483DF3">
        <w:rPr>
          <w:lang w:val="it-IT"/>
        </w:rPr>
        <w:t xml:space="preserve"> </w:t>
      </w:r>
      <w:r w:rsidR="009B3C0A" w:rsidRPr="00483DF3">
        <w:rPr>
          <w:lang w:val="it-IT"/>
        </w:rPr>
        <w:t xml:space="preserve"> </w:t>
      </w:r>
      <w:r w:rsidR="00594DC1" w:rsidRPr="00594DC1">
        <w:rPr>
          <w:rFonts w:ascii="Calibri" w:eastAsia="Calibri" w:hAnsi="Calibri" w:cs="Calibri"/>
          <w:color w:val="000000"/>
          <w:sz w:val="24"/>
          <w:szCs w:val="24"/>
          <w:lang w:val="it-IT" w:eastAsia="it-IT"/>
        </w:rPr>
        <w:t>L’impostazione teorica seguita, in effetti, è quella che supera la tradizionale dicotomia struttura-azione, attraverso la quale l’approccio ortodosso sceglie di misurare la convenienza (regolata da norme, interessi, etc. etc.) dell’agire collettivo e dei territori, a vantaggio di una prioritaria considerazione dell’effetto concreto dell’azione umana nel produrre efficaci transizioni dell’economia locale verso nuove attività.</w:t>
      </w:r>
      <w:bookmarkStart w:id="0" w:name="_GoBack"/>
      <w:bookmarkEnd w:id="0"/>
    </w:p>
    <w:p w:rsidR="0014185C" w:rsidRPr="00DF62CB" w:rsidRDefault="008A006E" w:rsidP="00940119">
      <w:pPr>
        <w:ind w:firstLine="708"/>
        <w:rPr>
          <w:lang w:val="it-IT"/>
        </w:rPr>
      </w:pPr>
      <w:r w:rsidRPr="00483DF3">
        <w:rPr>
          <w:lang w:val="it-IT"/>
        </w:rPr>
        <w:t xml:space="preserve">Seguendo questa impostazione, abbiamo condotto alcune indagini empiriche sui Commons napoletani. </w:t>
      </w:r>
      <w:r w:rsidR="0090301F" w:rsidRPr="00483DF3">
        <w:rPr>
          <w:lang w:val="it-IT"/>
        </w:rPr>
        <w:t>Il metodo adottato si basa sull’analisi diretta e logica induttiva. Le i</w:t>
      </w:r>
      <w:r w:rsidR="004D210B" w:rsidRPr="00483DF3">
        <w:rPr>
          <w:lang w:val="it-IT"/>
        </w:rPr>
        <w:t>nformazioni raccolte sulla natura delle attività (dati dichiarativi) di</w:t>
      </w:r>
      <w:r w:rsidR="0090301F" w:rsidRPr="00483DF3">
        <w:rPr>
          <w:lang w:val="it-IT"/>
        </w:rPr>
        <w:t xml:space="preserve"> 32 comunità informali insediate in alcuni immobili abbandonati del centro storico della città</w:t>
      </w:r>
      <w:r w:rsidR="004D210B" w:rsidRPr="00483DF3">
        <w:rPr>
          <w:lang w:val="it-IT"/>
        </w:rPr>
        <w:t>, risultano coerenti con le principali priorità poste dall’Agenda Urbana dell’UE, Patto di Amsterdam</w:t>
      </w:r>
      <w:r w:rsidR="000F7BFB" w:rsidRPr="00483DF3">
        <w:rPr>
          <w:lang w:val="it-IT"/>
        </w:rPr>
        <w:t xml:space="preserve"> (</w:t>
      </w:r>
      <w:r w:rsidR="004D210B" w:rsidRPr="00483DF3">
        <w:rPr>
          <w:lang w:val="it-IT"/>
        </w:rPr>
        <w:t>giugno 2016</w:t>
      </w:r>
      <w:r w:rsidR="000F7BFB" w:rsidRPr="00483DF3">
        <w:rPr>
          <w:lang w:val="it-IT"/>
        </w:rPr>
        <w:t>)</w:t>
      </w:r>
      <w:r w:rsidR="0090301F" w:rsidRPr="00483DF3">
        <w:rPr>
          <w:lang w:val="it-IT"/>
        </w:rPr>
        <w:t xml:space="preserve">. </w:t>
      </w:r>
      <w:r w:rsidR="004A69A5" w:rsidRPr="00483DF3">
        <w:rPr>
          <w:lang w:val="it-IT"/>
        </w:rPr>
        <w:t xml:space="preserve">Nella gran parte dei casi, le attività portate avanti dai gruppi, </w:t>
      </w:r>
      <w:r w:rsidR="00E7396A" w:rsidRPr="00483DF3">
        <w:rPr>
          <w:lang w:val="it-IT"/>
        </w:rPr>
        <w:t xml:space="preserve">rientranti, per categoria, nella filiera arte-cultura, innescano processi che integrano il contesto produttivo e lo arricchiscono di azioni di apprendimento e produzione, nonché contribuiscono alla ricerca di modalità alternative di governance del patrimonio pubblico. </w:t>
      </w:r>
      <w:r w:rsidR="00996705" w:rsidRPr="00483DF3">
        <w:rPr>
          <w:lang w:val="it-IT"/>
        </w:rPr>
        <w:t xml:space="preserve">In misura minore, ma con esperienze significative, le azioni </w:t>
      </w:r>
      <w:r w:rsidR="000F7BFB" w:rsidRPr="00483DF3">
        <w:rPr>
          <w:lang w:val="it-IT"/>
        </w:rPr>
        <w:t xml:space="preserve">sono </w:t>
      </w:r>
      <w:r w:rsidR="00996705" w:rsidRPr="00483DF3">
        <w:rPr>
          <w:lang w:val="it-IT"/>
        </w:rPr>
        <w:t>relative all’housing, all’inclusione dei migranti, al contrasto alla povertà, a forme alternative di mobilità.</w:t>
      </w:r>
      <w:r w:rsidR="00E77908" w:rsidRPr="00483DF3">
        <w:rPr>
          <w:lang w:val="it-IT"/>
        </w:rPr>
        <w:t xml:space="preserve"> </w:t>
      </w:r>
    </w:p>
    <w:sectPr w:rsidR="0014185C" w:rsidRPr="00DF62CB" w:rsidSect="00BA00E2">
      <w:pgSz w:w="11907" w:h="16840" w:code="9"/>
      <w:pgMar w:top="1418" w:right="1134"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5457" w:rsidRDefault="005F5457" w:rsidP="00641791">
      <w:pPr>
        <w:spacing w:after="0" w:line="240" w:lineRule="auto"/>
      </w:pPr>
      <w:r>
        <w:separator/>
      </w:r>
    </w:p>
  </w:endnote>
  <w:endnote w:type="continuationSeparator" w:id="0">
    <w:p w:rsidR="005F5457" w:rsidRDefault="005F5457" w:rsidP="006417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5457" w:rsidRDefault="005F5457" w:rsidP="00641791">
      <w:pPr>
        <w:spacing w:after="0" w:line="240" w:lineRule="auto"/>
      </w:pPr>
      <w:r>
        <w:separator/>
      </w:r>
    </w:p>
  </w:footnote>
  <w:footnote w:type="continuationSeparator" w:id="0">
    <w:p w:rsidR="005F5457" w:rsidRDefault="005F5457" w:rsidP="0064179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A126EA"/>
    <w:multiLevelType w:val="hybridMultilevel"/>
    <w:tmpl w:val="1C24E4AA"/>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283"/>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2CB"/>
    <w:rsid w:val="00003E3F"/>
    <w:rsid w:val="00077021"/>
    <w:rsid w:val="000C188A"/>
    <w:rsid w:val="000C6FE1"/>
    <w:rsid w:val="000F7BFB"/>
    <w:rsid w:val="00106E14"/>
    <w:rsid w:val="0011772C"/>
    <w:rsid w:val="00125B8E"/>
    <w:rsid w:val="0014185C"/>
    <w:rsid w:val="00152005"/>
    <w:rsid w:val="00156392"/>
    <w:rsid w:val="00171A94"/>
    <w:rsid w:val="00172B98"/>
    <w:rsid w:val="00174567"/>
    <w:rsid w:val="0018608B"/>
    <w:rsid w:val="001F2553"/>
    <w:rsid w:val="002246F3"/>
    <w:rsid w:val="00240725"/>
    <w:rsid w:val="00254A70"/>
    <w:rsid w:val="00271E6F"/>
    <w:rsid w:val="00294323"/>
    <w:rsid w:val="002A1F34"/>
    <w:rsid w:val="002F1134"/>
    <w:rsid w:val="003058A4"/>
    <w:rsid w:val="00310DA6"/>
    <w:rsid w:val="00334BF7"/>
    <w:rsid w:val="00341025"/>
    <w:rsid w:val="00350187"/>
    <w:rsid w:val="00376378"/>
    <w:rsid w:val="003B032B"/>
    <w:rsid w:val="003B438F"/>
    <w:rsid w:val="003C26F8"/>
    <w:rsid w:val="003D4F3C"/>
    <w:rsid w:val="003E06FA"/>
    <w:rsid w:val="00403A4C"/>
    <w:rsid w:val="00416D7B"/>
    <w:rsid w:val="004410F5"/>
    <w:rsid w:val="004438BC"/>
    <w:rsid w:val="00444D88"/>
    <w:rsid w:val="004546C9"/>
    <w:rsid w:val="004704EE"/>
    <w:rsid w:val="004778A2"/>
    <w:rsid w:val="00483DF3"/>
    <w:rsid w:val="004A4A58"/>
    <w:rsid w:val="004A69A5"/>
    <w:rsid w:val="004B772B"/>
    <w:rsid w:val="004D210B"/>
    <w:rsid w:val="004F2596"/>
    <w:rsid w:val="004F4667"/>
    <w:rsid w:val="00501797"/>
    <w:rsid w:val="0053047F"/>
    <w:rsid w:val="00561371"/>
    <w:rsid w:val="00576886"/>
    <w:rsid w:val="00594DC1"/>
    <w:rsid w:val="005979F4"/>
    <w:rsid w:val="005C2733"/>
    <w:rsid w:val="005C6266"/>
    <w:rsid w:val="005D6024"/>
    <w:rsid w:val="005F5457"/>
    <w:rsid w:val="005F5634"/>
    <w:rsid w:val="005F5A7A"/>
    <w:rsid w:val="005F60BC"/>
    <w:rsid w:val="00623118"/>
    <w:rsid w:val="00641791"/>
    <w:rsid w:val="00661A5B"/>
    <w:rsid w:val="006709A4"/>
    <w:rsid w:val="00670C7B"/>
    <w:rsid w:val="006B18C0"/>
    <w:rsid w:val="006C3EE9"/>
    <w:rsid w:val="006D0130"/>
    <w:rsid w:val="006F32A2"/>
    <w:rsid w:val="0070145D"/>
    <w:rsid w:val="00731BEB"/>
    <w:rsid w:val="007740F9"/>
    <w:rsid w:val="00780456"/>
    <w:rsid w:val="00793CEA"/>
    <w:rsid w:val="007D120D"/>
    <w:rsid w:val="007D4156"/>
    <w:rsid w:val="007D465F"/>
    <w:rsid w:val="007E0A3D"/>
    <w:rsid w:val="007F49E4"/>
    <w:rsid w:val="00810CBC"/>
    <w:rsid w:val="00826CBF"/>
    <w:rsid w:val="008340F8"/>
    <w:rsid w:val="008367BD"/>
    <w:rsid w:val="00861680"/>
    <w:rsid w:val="00866F35"/>
    <w:rsid w:val="008A006E"/>
    <w:rsid w:val="0090301F"/>
    <w:rsid w:val="00911FBC"/>
    <w:rsid w:val="00940119"/>
    <w:rsid w:val="00947C04"/>
    <w:rsid w:val="009522B7"/>
    <w:rsid w:val="00952E1B"/>
    <w:rsid w:val="009620DE"/>
    <w:rsid w:val="009637A3"/>
    <w:rsid w:val="00996705"/>
    <w:rsid w:val="009A0A92"/>
    <w:rsid w:val="009B06EC"/>
    <w:rsid w:val="009B3C0A"/>
    <w:rsid w:val="009C42CD"/>
    <w:rsid w:val="009E075E"/>
    <w:rsid w:val="009F4E3B"/>
    <w:rsid w:val="00A02CE7"/>
    <w:rsid w:val="00A464FB"/>
    <w:rsid w:val="00AB242D"/>
    <w:rsid w:val="00AB26C9"/>
    <w:rsid w:val="00AB66DE"/>
    <w:rsid w:val="00AD340C"/>
    <w:rsid w:val="00AD5AF2"/>
    <w:rsid w:val="00AE31B7"/>
    <w:rsid w:val="00AF1A6F"/>
    <w:rsid w:val="00AF5455"/>
    <w:rsid w:val="00B0562D"/>
    <w:rsid w:val="00B53C39"/>
    <w:rsid w:val="00B60307"/>
    <w:rsid w:val="00B650EA"/>
    <w:rsid w:val="00B76FB0"/>
    <w:rsid w:val="00BA00E2"/>
    <w:rsid w:val="00BA21F1"/>
    <w:rsid w:val="00BD5702"/>
    <w:rsid w:val="00BD6358"/>
    <w:rsid w:val="00BE3627"/>
    <w:rsid w:val="00C1148D"/>
    <w:rsid w:val="00C27F69"/>
    <w:rsid w:val="00C56243"/>
    <w:rsid w:val="00C709FB"/>
    <w:rsid w:val="00C71DC0"/>
    <w:rsid w:val="00C94472"/>
    <w:rsid w:val="00C97A03"/>
    <w:rsid w:val="00CA1667"/>
    <w:rsid w:val="00D106FB"/>
    <w:rsid w:val="00D26FCA"/>
    <w:rsid w:val="00D333BF"/>
    <w:rsid w:val="00D453A8"/>
    <w:rsid w:val="00D515BE"/>
    <w:rsid w:val="00D5203B"/>
    <w:rsid w:val="00DA2815"/>
    <w:rsid w:val="00DF3FDD"/>
    <w:rsid w:val="00DF62CB"/>
    <w:rsid w:val="00E067E0"/>
    <w:rsid w:val="00E26EFD"/>
    <w:rsid w:val="00E40DCB"/>
    <w:rsid w:val="00E5096A"/>
    <w:rsid w:val="00E7396A"/>
    <w:rsid w:val="00E776E9"/>
    <w:rsid w:val="00E77908"/>
    <w:rsid w:val="00E77CDC"/>
    <w:rsid w:val="00EB78A1"/>
    <w:rsid w:val="00EC6EAB"/>
    <w:rsid w:val="00ED798B"/>
    <w:rsid w:val="00EF18CE"/>
    <w:rsid w:val="00F1105C"/>
    <w:rsid w:val="00F11DF5"/>
    <w:rsid w:val="00F31256"/>
    <w:rsid w:val="00F52139"/>
    <w:rsid w:val="00F75091"/>
    <w:rsid w:val="00F919B2"/>
    <w:rsid w:val="00FA6059"/>
    <w:rsid w:val="00FA667F"/>
    <w:rsid w:val="00FC0AFD"/>
    <w:rsid w:val="00FF6AF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50882B-2269-4A6E-8973-FE13700564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t-IT" w:eastAsia="en-US" w:bidi="ar-SA"/>
      </w:rPr>
    </w:rPrDefault>
    <w:pPrDefault>
      <w:pPr>
        <w:spacing w:after="160" w:line="259"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lang w:val="en-GB"/>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A464FB"/>
    <w:pPr>
      <w:ind w:left="720"/>
      <w:contextualSpacing/>
    </w:pPr>
  </w:style>
  <w:style w:type="paragraph" w:styleId="Testonotaapidipagina">
    <w:name w:val="footnote text"/>
    <w:basedOn w:val="Normale"/>
    <w:link w:val="TestonotaapidipaginaCarattere"/>
    <w:unhideWhenUsed/>
    <w:rsid w:val="00641791"/>
    <w:pPr>
      <w:spacing w:after="0" w:line="240" w:lineRule="auto"/>
    </w:pPr>
    <w:rPr>
      <w:sz w:val="20"/>
      <w:szCs w:val="20"/>
      <w:lang w:val="it-IT"/>
    </w:rPr>
  </w:style>
  <w:style w:type="character" w:customStyle="1" w:styleId="TestonotaapidipaginaCarattere">
    <w:name w:val="Testo nota a piè di pagina Carattere"/>
    <w:basedOn w:val="Carpredefinitoparagrafo"/>
    <w:link w:val="Testonotaapidipagina"/>
    <w:rsid w:val="00641791"/>
    <w:rPr>
      <w:sz w:val="20"/>
      <w:szCs w:val="20"/>
    </w:rPr>
  </w:style>
  <w:style w:type="character" w:styleId="Rimandonotaapidipagina">
    <w:name w:val="footnote reference"/>
    <w:basedOn w:val="Carpredefinitoparagrafo"/>
    <w:unhideWhenUsed/>
    <w:rsid w:val="0064179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D119E-E767-47E4-BFCB-C2A42556D2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1</Pages>
  <Words>1350</Words>
  <Characters>7696</Characters>
  <Application>Microsoft Office Word</Application>
  <DocSecurity>0</DocSecurity>
  <Lines>64</Lines>
  <Paragraphs>18</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9028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Patrizia Vittoria</dc:creator>
  <cp:keywords/>
  <dc:description/>
  <cp:lastModifiedBy>Maria Patrizia Vittoria</cp:lastModifiedBy>
  <cp:revision>17</cp:revision>
  <dcterms:created xsi:type="dcterms:W3CDTF">2018-03-28T10:57:00Z</dcterms:created>
  <dcterms:modified xsi:type="dcterms:W3CDTF">2018-03-29T12:35:00Z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ser Name_1">
    <vt:lpwstr>m.vittoria@iriss.cnr.it@www.mendeley.com</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http://www.zotero.org/styles/city-culture-and-society</vt:lpwstr>
  </property>
  <property fmtid="{D5CDD505-2E9C-101B-9397-08002B2CF9AE}" pid="16" name="Mendeley Recent Style Name 5_1">
    <vt:lpwstr>City, Culture and Society</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(author-date)</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7th edition</vt:lpwstr>
  </property>
</Properties>
</file>